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V 7</w:t>
      </w:r>
    </w:p>
    <w:p>
      <w:r>
        <w:t>Bundesgericht (BGE), 1984-01-20, DE</w:t>
      </w:r>
    </w:p>
    <w:p>
      <w:r>
        <w:rPr>
          <w:b/>
        </w:rPr>
        <w:t xml:space="preserve">Quelle: </w:t>
      </w:r>
      <w:r>
        <w:t>https://mcp.opencaselaw.ch/entscheid/bge_110 V 7</w:t>
      </w:r>
    </w:p>
    <w:p>
      <w:r>
        <w:t>FR: ATF 110 V 7</w:t>
      </w:r>
    </w:p>
    <w:p>
      <w:r>
        <w:t>IT: DTF 110 V 7</w:t>
      </w:r>
    </w:p>
    <w:p>
      <w:pPr>
        <w:pStyle w:val="Heading2"/>
      </w:pPr>
      <w:r>
        <w:t>Regeste</w:t>
      </w:r>
    </w:p>
    <w:p>
      <w:r>
        <w:t>Regeste Art. 25 Abs. 1 AHVV. Fallen der Eintritt einer Veränderung der Einkommensgrundlage und der Eintritt einer wesentlichen Veränderung der Einkommenshöhe zeitlich auseinander, so ist das ausserordentliche Bemessungsverfahren anzuwenden, wenn zwischen den beiden Veränderungen ein adäquater Kausalzusammenhang besteht. Unerheblich ist, ob die beiden Veränderungen im gleichen Beitragsjahr (Kalenderjahr) eintreten.</w:t>
      </w:r>
    </w:p>
    <w:p>
      <w:pPr>
        <w:pStyle w:val="Heading2"/>
      </w:pPr>
      <w:r>
        <w:t>Erwägungen</w:t>
      </w:r>
    </w:p>
    <w:p>
      <w:r>
        <w:rPr>
          <w:b/>
        </w:rPr>
        <w:t>E. 3</w:t>
      </w:r>
    </w:p>
    <w:p>
      <w:r>
        <w:t>a) In materieller Hinsicht stellt sich die Frage, ob die Ausgleichskasse in der angefochtenen Nachforderungsverfügung vom 19. März 1981 zu Recht das ausserordentliche Bemessungsverfahren angewandt hat. Während die Vorinstanz in ihrem Entscheid, in welchem sie die Bestimmungen über das ausserordentliche Bemessungsverfahren zutreffend darlegt, das Vorliegen der vier Voraussetzungen für eine Zwischentaxation ( BGE 106 V 76 Erw. 3a) bejaht, macht das BSV geltend, es fehle zur Vornahme einer Neueinschätzung auf den 1. Mai 1977 die wesentliche Veränderung der Einkommenshöhe; aber auch auf den 1. Januar 1978 sei eine Neueinschätzung nicht zulässig, weil zu diesem Zeitpunkt keine Veränderung der Einkommensgrundlagen stattgefunden habe. b) Wenn der Eintritt einer Veränderung der Einkommensgrundlage und der Eintritt einer wesentlichen Veränderung der Einkommenshöhe zeitlich auseinanderfallen, ist für die Frage, ob das ausserordentliche Bemessungsverfahren nach Art. 25 Abs. 1 AHVV BGE 110 V 7 S. 9 überhaupt anwendbar sei, das Vorliegen eines adäquaten Kausalzusammenhanges zwischen den erwähnten Veränderungen entscheidend. Im Rahmen der Beurteilung des adäquaten Kausalzusammenhanges kann der Zeitraum zwischen einer Änderung der Einkommensgrundlage und einer wesentlichen Änderung der Einkommenshöhe eine gewisse Rolle spielen, indem die Adäquanz mit zunehmendem Zeitabstand allenfalls geringer wird. Unerheblich ist, ob die Änderung der Einkommensgrundlage und die wesentliche Änderung der Einkommenshöhe im gleichen Beitragsjahr (Kalenderjahr) stattfinden. c) Mit der Ausgleichskasse ist davon auszugehen, dass die am 1. Mai 1977 eingetretene Änderung der Einkommensgrundlage (Übernahme des Magnetschilder-Geschäftes) in den acht Monaten des Jahres 1977 nur eine unbedeutende Einkommensänderung bewirkte, weshalb das ausserordentliche Bemessungsverfahren für jene Zeit nicht anwendbar ist. Streitig sind denn auch nur die nachgeforderten persönlichen Beiträge für die Jahre 1978 und 1979. Das Jahr 1979 gilt als Vorjahr der nächsten ordentlichen Beitragsperiode 1980/81, für welches die Beiträge aufgrund des reinen Erwerbseinkommens festgesetzt werden, das der Beitragsbemessung für diese Periode zugrunde zu legen ist ( Art. 25 Abs. 3 AHVV ). Daher ist einzig zu prüfen, ob im Jahr 1978 eine wesentliche Änderung der Einkommenshöhe, d.h. von mindestens 25% ( BGE 105 V 118 ) stattgefunden hat, für welche die Änderung der Einkommensgrundlage vom 1. Mai 1977 adäquat kausal ist. Angesichts der gemäss Steuermeldungen vom 20. August 1979 bzw. 10. November 1980 ausgewiesenen Einkommen von Fr. 15'000.-- im Jahr 1976 bzw. Fr. 17'000.-- im Jahr 1977 und Fr. 27'000.-- im Jahr 1978 trifft dies zu. Verwaltung und Vorinstanz wandten somit das ausserordentliche Bemessungsverfahren für 1978 zu Recht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